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2"/>
        <w:gridCol w:w="731"/>
        <w:gridCol w:w="1816"/>
        <w:gridCol w:w="1336"/>
        <w:gridCol w:w="365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3"/>
        <w:gridCol w:w="823"/>
        <w:gridCol w:w="1180"/>
        <w:gridCol w:w="1291"/>
        <w:gridCol w:w="3947"/>
        <w:gridCol w:w="553"/>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a comprehensive overview of the Riparian Zones Land Cover/Land Use (LC/LU) product within the Copernicus Land Monitoring Service (CLMS). It details the product’s characteristics, methodology, potential applications, quality assessment, and technical support information. The product offers detailed LC/LU data for riparian areas along selected rivers across Europe (EEA-38 and the UK) for reference years 2012 and 2018, including change mapping, derived from very high-resolution satellite imagery and ancillary datasets. This manual is intended for users seeking to understand and effectively utilise the Riparian Zones LC/LU product for environmental monitoring, policy support, and various research applications.</dc:description>
  <cp:keywords>Riparian zones, Land cover/land use classification, Change mapping, Very high-resolution imagery, Ecosystem services, MAES (Mapping and Assessment of Ecosystems and their Services), EU-Hydro database, Strahler number, Thematic accuracy assessment, Parent Scene Identification Layer (PSIL)</cp:keywords>
  <dcterms:created xsi:type="dcterms:W3CDTF">2025-10-29T14:04:27Z</dcterms:created>
  <dcterms:modified xsi:type="dcterms:W3CDTF">2025-10-29T14:04:27Z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